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E1F7A" w:rsidRDefault="00B53A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1"/>
        <w:ind w:left="417" w:right="362" w:hanging="218"/>
        <w:jc w:val="center"/>
        <w:rPr>
          <w:color w:val="000000"/>
          <w:sz w:val="36"/>
          <w:szCs w:val="36"/>
        </w:rPr>
      </w:pPr>
      <w:r>
        <w:rPr>
          <w:color w:val="FF0066"/>
          <w:sz w:val="36"/>
          <w:szCs w:val="36"/>
        </w:rPr>
        <w:t>WP5 : Promotion du dialogue social et interculturel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47"/>
          <w:szCs w:val="47"/>
        </w:rPr>
      </w:pPr>
    </w:p>
    <w:p w:rsidR="00FE1F7A" w:rsidRDefault="00B53A06" w:rsidP="002D0791">
      <w:pPr>
        <w:pStyle w:val="normal0"/>
        <w:spacing w:before="1" w:line="297" w:lineRule="auto"/>
        <w:ind w:left="441" w:right="379" w:firstLine="2"/>
        <w:jc w:val="center"/>
        <w:rPr>
          <w:b/>
          <w:sz w:val="36"/>
          <w:szCs w:val="36"/>
        </w:rPr>
      </w:pPr>
      <w:r>
        <w:rPr>
          <w:b/>
          <w:color w:val="FF0066"/>
          <w:sz w:val="36"/>
          <w:szCs w:val="36"/>
          <w:u w:val="single"/>
        </w:rPr>
        <w:t xml:space="preserve">APPEL A MANIFESTATION D’INTÊRET EVENEMENT DE DIALOGUE INTERCULTUREL #2 TUNIS, SEMAINE DU </w:t>
      </w:r>
      <w:r w:rsidR="002D0791">
        <w:rPr>
          <w:b/>
          <w:color w:val="FF0066"/>
          <w:sz w:val="36"/>
          <w:szCs w:val="36"/>
          <w:u w:val="single"/>
        </w:rPr>
        <w:t>26 AU 29</w:t>
      </w:r>
      <w:r>
        <w:rPr>
          <w:b/>
          <w:color w:val="FF0066"/>
          <w:sz w:val="36"/>
          <w:szCs w:val="36"/>
          <w:u w:val="single"/>
        </w:rPr>
        <w:t xml:space="preserve"> </w:t>
      </w:r>
      <w:r w:rsidR="002D0791">
        <w:rPr>
          <w:b/>
          <w:color w:val="FF0066"/>
          <w:sz w:val="36"/>
          <w:szCs w:val="36"/>
          <w:u w:val="single"/>
        </w:rPr>
        <w:t>NOVEMBRE</w:t>
      </w:r>
      <w:r>
        <w:rPr>
          <w:b/>
          <w:color w:val="FF0066"/>
          <w:sz w:val="36"/>
          <w:szCs w:val="36"/>
          <w:u w:val="single"/>
        </w:rPr>
        <w:t xml:space="preserve"> 2019</w:t>
      </w:r>
    </w:p>
    <w:p w:rsidR="00FE1F7A" w:rsidRDefault="00FE1F7A">
      <w:pPr>
        <w:pStyle w:val="normal0"/>
        <w:spacing w:line="297" w:lineRule="auto"/>
        <w:jc w:val="center"/>
        <w:rPr>
          <w:sz w:val="36"/>
          <w:szCs w:val="36"/>
        </w:rPr>
        <w:sectPr w:rsidR="00FE1F7A">
          <w:headerReference w:type="default" r:id="rId7"/>
          <w:footerReference w:type="default" r:id="rId8"/>
          <w:pgSz w:w="11910" w:h="16850"/>
          <w:pgMar w:top="1680" w:right="1640" w:bottom="1940" w:left="1580" w:header="709" w:footer="1747" w:gutter="0"/>
          <w:pgNumType w:start="1"/>
          <w:cols w:space="720" w:equalWidth="0">
            <w:col w:w="9406"/>
          </w:cols>
        </w:sect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8"/>
          <w:szCs w:val="28"/>
        </w:rPr>
      </w:pPr>
    </w:p>
    <w:p w:rsidR="00FE1F7A" w:rsidRDefault="00B53A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/>
        <w:ind w:left="218" w:hanging="218"/>
        <w:jc w:val="both"/>
        <w:rPr>
          <w:color w:val="000000"/>
          <w:sz w:val="36"/>
          <w:szCs w:val="36"/>
        </w:rPr>
      </w:pPr>
      <w:r>
        <w:rPr>
          <w:color w:val="FF0066"/>
          <w:sz w:val="36"/>
          <w:szCs w:val="36"/>
        </w:rPr>
        <w:t>Le projet DIRE-MED :</w:t>
      </w:r>
    </w:p>
    <w:p w:rsidR="00FE1F7A" w:rsidRDefault="00B53A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/>
        <w:ind w:left="218" w:right="151"/>
        <w:jc w:val="both"/>
        <w:rPr>
          <w:color w:val="000000"/>
          <w:sz w:val="24"/>
          <w:szCs w:val="24"/>
        </w:rPr>
      </w:pPr>
      <w:r w:rsidRPr="002D0791">
        <w:rPr>
          <w:color w:val="000000"/>
          <w:sz w:val="24"/>
          <w:szCs w:val="24"/>
        </w:rPr>
        <w:t>L’Université de Tunis El Manar est partenaire du projet</w:t>
      </w:r>
      <w:r>
        <w:rPr>
          <w:color w:val="000000"/>
          <w:sz w:val="24"/>
          <w:szCs w:val="24"/>
        </w:rPr>
        <w:t xml:space="preserve"> Erasmus+Dialogue interculturel, Réseaux et Mobilité en Méditerranée - DIRE-MED. Ce projet a pour objectif de créer un cadre de coopération pour faciliter les échanges d’étudiants, de personnel académique et non académique des universités et des établissements d’enseignement supérieur du Bassin Méditerranéen. DIRE-MED vise également à articuler la coopération université-société à travers la promotion du dialogue interculturel en renforçant l’ouverture à l’international et l’esprit entrepreneurial, afin d’améliorer les opportunités d’insertion dans le monde socioéconomique et dynamiser le marché du travail. </w:t>
      </w:r>
    </w:p>
    <w:p w:rsidR="00FE1F7A" w:rsidRDefault="00B53A06" w:rsidP="002D079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/>
        <w:ind w:left="218" w:right="1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Dans ce cadre</w:t>
      </w:r>
      <w:r>
        <w:rPr>
          <w:color w:val="0000FF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un 1</w:t>
      </w:r>
      <w:r>
        <w:rPr>
          <w:color w:val="000000"/>
          <w:sz w:val="24"/>
          <w:szCs w:val="24"/>
          <w:vertAlign w:val="superscript"/>
        </w:rPr>
        <w:t>er</w:t>
      </w:r>
      <w:r>
        <w:rPr>
          <w:color w:val="000000"/>
          <w:sz w:val="24"/>
          <w:szCs w:val="24"/>
        </w:rPr>
        <w:t xml:space="preserve"> événement a été organisé à Tanger, en avril 2019, accueilli par l’Université Abdelmalek Essaadi. Le second sera organisé la semaine du </w:t>
      </w:r>
      <w:r w:rsidR="002D0791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au </w:t>
      </w:r>
      <w:r w:rsidR="002D0791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</w:t>
      </w:r>
      <w:r w:rsidR="002D0791">
        <w:rPr>
          <w:color w:val="000000"/>
          <w:sz w:val="24"/>
          <w:szCs w:val="24"/>
        </w:rPr>
        <w:t>novembre</w:t>
      </w:r>
      <w:r>
        <w:rPr>
          <w:color w:val="000000"/>
          <w:sz w:val="24"/>
          <w:szCs w:val="24"/>
        </w:rPr>
        <w:t xml:space="preserve"> 2019 par l’Université de Tunis El Manar.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/>
        <w:ind w:left="218" w:right="151"/>
        <w:jc w:val="both"/>
        <w:rPr>
          <w:color w:val="000000"/>
          <w:sz w:val="24"/>
          <w:szCs w:val="24"/>
        </w:rPr>
      </w:pPr>
    </w:p>
    <w:p w:rsidR="00FE1F7A" w:rsidRDefault="00B53A06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 w:right="964" w:hanging="218"/>
        <w:jc w:val="both"/>
        <w:rPr>
          <w:color w:val="000000"/>
          <w:sz w:val="32"/>
          <w:szCs w:val="32"/>
        </w:rPr>
      </w:pPr>
      <w:r>
        <w:rPr>
          <w:color w:val="FF0066"/>
          <w:sz w:val="32"/>
          <w:szCs w:val="32"/>
        </w:rPr>
        <w:t>Organisation de la deuxième rencontre autour du dialogue interculturel à Tunis :</w:t>
      </w:r>
    </w:p>
    <w:p w:rsidR="00FE1F7A" w:rsidRDefault="00B53A0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98" w:line="432" w:lineRule="auto"/>
        <w:rPr>
          <w:rFonts w:ascii="Calibri" w:eastAsia="Calibri" w:hAnsi="Calibri" w:cs="Calibri"/>
          <w:color w:val="FF0066"/>
          <w:sz w:val="36"/>
          <w:szCs w:val="36"/>
        </w:rPr>
      </w:pPr>
      <w:r>
        <w:rPr>
          <w:color w:val="FF0066"/>
          <w:sz w:val="28"/>
          <w:szCs w:val="28"/>
        </w:rPr>
        <w:t>Présentation</w:t>
      </w:r>
      <w:r>
        <w:rPr>
          <w:color w:val="FF0066"/>
          <w:sz w:val="36"/>
          <w:szCs w:val="36"/>
        </w:rPr>
        <w:t>: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 w:right="152"/>
        <w:jc w:val="both"/>
        <w:rPr>
          <w:color w:val="000000"/>
          <w:sz w:val="24"/>
          <w:szCs w:val="24"/>
        </w:rPr>
      </w:pPr>
    </w:p>
    <w:p w:rsidR="00FE1F7A" w:rsidRDefault="00B53A06" w:rsidP="002D079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Cet événement aura lieu à Tunis la semaine du </w:t>
      </w:r>
      <w:r w:rsidR="002D0791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au </w:t>
      </w:r>
      <w:r w:rsidR="002D0791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</w:t>
      </w:r>
      <w:r w:rsidR="002D0791">
        <w:rPr>
          <w:color w:val="000000"/>
          <w:sz w:val="24"/>
          <w:szCs w:val="24"/>
        </w:rPr>
        <w:t>novembre</w:t>
      </w:r>
      <w:r>
        <w:rPr>
          <w:color w:val="000000"/>
          <w:sz w:val="24"/>
          <w:szCs w:val="24"/>
        </w:rPr>
        <w:t xml:space="preserve"> 2019 et se déroulera sur une journée et demi. </w:t>
      </w:r>
      <w:r w:rsidR="002D0791" w:rsidRPr="002D0791">
        <w:rPr>
          <w:color w:val="000000"/>
          <w:sz w:val="24"/>
          <w:szCs w:val="24"/>
        </w:rPr>
        <w:t>Chaque présentation ou activité durera entre 20 et 90 minutes maximum selon le format. </w:t>
      </w:r>
      <w:r>
        <w:rPr>
          <w:color w:val="000000"/>
          <w:sz w:val="24"/>
          <w:szCs w:val="24"/>
        </w:rPr>
        <w:t>Les dates exactes seront précisées ultérieurement.</w:t>
      </w:r>
    </w:p>
    <w:p w:rsidR="00FE1F7A" w:rsidRDefault="00FE1F7A" w:rsidP="002D0791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 w:right="152"/>
        <w:jc w:val="both"/>
        <w:rPr>
          <w:sz w:val="24"/>
          <w:szCs w:val="24"/>
        </w:rPr>
      </w:pPr>
    </w:p>
    <w:p w:rsidR="00FE1F7A" w:rsidRDefault="00B53A06" w:rsidP="008B1C0B">
      <w:pPr>
        <w:pStyle w:val="normal0"/>
        <w:pBdr>
          <w:top w:val="nil"/>
          <w:left w:val="nil"/>
          <w:bottom w:val="nil"/>
          <w:right w:val="nil"/>
          <w:between w:val="nil"/>
        </w:pBdr>
        <w:ind w:right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Cet </w:t>
      </w:r>
      <w:r>
        <w:rPr>
          <w:sz w:val="24"/>
          <w:szCs w:val="24"/>
        </w:rPr>
        <w:t>événement</w:t>
      </w:r>
      <w:r>
        <w:rPr>
          <w:color w:val="000000"/>
          <w:sz w:val="24"/>
          <w:szCs w:val="24"/>
        </w:rPr>
        <w:t xml:space="preserve"> réunira des étudiants et des chercheurs des universités partenaires mais verra également la participation d’acteurs locaux, de représentants des autorités publiques, des entreprises, des institutions internationales. Tous seront amenés à réfléchir et échanger au sujet d’une thématique générale :</w:t>
      </w:r>
      <w:r>
        <w:rPr>
          <w:b/>
          <w:color w:val="000000"/>
          <w:sz w:val="24"/>
          <w:szCs w:val="24"/>
        </w:rPr>
        <w:t xml:space="preserve"> la </w:t>
      </w:r>
      <w:r>
        <w:rPr>
          <w:b/>
          <w:i/>
          <w:color w:val="000000"/>
          <w:sz w:val="24"/>
          <w:szCs w:val="24"/>
        </w:rPr>
        <w:t>Méditerranéité</w:t>
      </w:r>
      <w:r>
        <w:rPr>
          <w:color w:val="000000"/>
          <w:sz w:val="24"/>
          <w:szCs w:val="24"/>
        </w:rPr>
        <w:t xml:space="preserve">. 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 w:right="152"/>
        <w:jc w:val="both"/>
        <w:rPr>
          <w:color w:val="000000"/>
          <w:sz w:val="24"/>
          <w:szCs w:val="24"/>
        </w:rPr>
      </w:pPr>
    </w:p>
    <w:p w:rsidR="00FE1F7A" w:rsidRDefault="00B53A06" w:rsidP="008B1C0B">
      <w:pPr>
        <w:pStyle w:val="normal0"/>
        <w:pBdr>
          <w:top w:val="nil"/>
          <w:left w:val="nil"/>
          <w:bottom w:val="nil"/>
          <w:right w:val="nil"/>
          <w:between w:val="nil"/>
        </w:pBdr>
        <w:ind w:right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continuité avec les questions débattues à Tanger, cette deuxième rencontre abordera les thématiques spécifiques suivantes: </w:t>
      </w:r>
    </w:p>
    <w:p w:rsidR="008B1C0B" w:rsidRDefault="008B1C0B" w:rsidP="008B1C0B">
      <w:pPr>
        <w:pStyle w:val="normal0"/>
        <w:pBdr>
          <w:top w:val="nil"/>
          <w:left w:val="nil"/>
          <w:bottom w:val="nil"/>
          <w:right w:val="nil"/>
          <w:between w:val="nil"/>
        </w:pBdr>
        <w:ind w:right="152"/>
        <w:jc w:val="both"/>
        <w:rPr>
          <w:color w:val="000000"/>
          <w:sz w:val="24"/>
          <w:szCs w:val="24"/>
        </w:rPr>
      </w:pPr>
    </w:p>
    <w:p w:rsidR="00FE1F7A" w:rsidRDefault="00B53A0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52"/>
        <w:jc w:val="both"/>
      </w:pPr>
      <w:r>
        <w:rPr>
          <w:b/>
          <w:color w:val="000000"/>
          <w:sz w:val="24"/>
          <w:szCs w:val="24"/>
        </w:rPr>
        <w:t>Le patrimoine commun </w:t>
      </w:r>
      <w:r>
        <w:rPr>
          <w:color w:val="000000"/>
          <w:sz w:val="24"/>
          <w:szCs w:val="24"/>
        </w:rPr>
        <w:t>;</w:t>
      </w:r>
    </w:p>
    <w:p w:rsidR="00FE1F7A" w:rsidRDefault="00B53A0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52"/>
        <w:jc w:val="both"/>
      </w:pPr>
      <w:r>
        <w:rPr>
          <w:b/>
          <w:color w:val="000000"/>
          <w:sz w:val="24"/>
          <w:szCs w:val="24"/>
        </w:rPr>
        <w:t>l’artisanat ;</w:t>
      </w:r>
    </w:p>
    <w:p w:rsidR="00FE1F7A" w:rsidRDefault="00B53A0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52"/>
        <w:jc w:val="both"/>
      </w:pPr>
      <w:r>
        <w:rPr>
          <w:b/>
          <w:color w:val="000000"/>
          <w:sz w:val="24"/>
          <w:szCs w:val="24"/>
        </w:rPr>
        <w:t xml:space="preserve">Le tourisme </w:t>
      </w:r>
      <w:r>
        <w:rPr>
          <w:color w:val="000000"/>
          <w:sz w:val="24"/>
          <w:szCs w:val="24"/>
        </w:rPr>
        <w:t xml:space="preserve">; </w:t>
      </w:r>
    </w:p>
    <w:p w:rsidR="00FE1F7A" w:rsidRDefault="00B53A0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52"/>
        <w:jc w:val="both"/>
      </w:pPr>
      <w:r>
        <w:rPr>
          <w:b/>
          <w:color w:val="000000"/>
          <w:sz w:val="24"/>
          <w:szCs w:val="24"/>
        </w:rPr>
        <w:t xml:space="preserve">La citoyenneté, </w:t>
      </w:r>
    </w:p>
    <w:p w:rsidR="00FE1F7A" w:rsidRDefault="00B53A0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52"/>
        <w:jc w:val="both"/>
      </w:pPr>
      <w:r>
        <w:rPr>
          <w:b/>
          <w:color w:val="000000"/>
          <w:sz w:val="24"/>
          <w:szCs w:val="24"/>
        </w:rPr>
        <w:t>La mobilité ;</w:t>
      </w:r>
    </w:p>
    <w:p w:rsidR="00FE1F7A" w:rsidRDefault="00B53A0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15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4"/>
          <w:szCs w:val="24"/>
        </w:rPr>
        <w:t xml:space="preserve">l’insertion socio-professionnelle. 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ind w:left="578" w:right="152"/>
        <w:jc w:val="both"/>
        <w:rPr>
          <w:color w:val="000000"/>
          <w:sz w:val="23"/>
          <w:szCs w:val="23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E1F7A" w:rsidRDefault="00B53A06">
      <w:pPr>
        <w:pStyle w:val="normal0"/>
        <w:spacing w:before="251"/>
        <w:ind w:left="218"/>
        <w:jc w:val="both"/>
        <w:rPr>
          <w:sz w:val="36"/>
          <w:szCs w:val="36"/>
        </w:rPr>
      </w:pPr>
      <w:r>
        <w:rPr>
          <w:color w:val="FF0066"/>
          <w:sz w:val="36"/>
          <w:szCs w:val="36"/>
        </w:rPr>
        <w:t>Devenez des ambassadeurs de la Méditerranéité !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32"/>
          <w:szCs w:val="32"/>
        </w:rPr>
      </w:pPr>
    </w:p>
    <w:p w:rsidR="00FE1F7A" w:rsidRDefault="00B53A06" w:rsidP="006E10EA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 w:right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projet DIRE-MED prévoit la participation de </w:t>
      </w:r>
      <w:r w:rsidRPr="006E10EA">
        <w:rPr>
          <w:b/>
          <w:color w:val="000000"/>
          <w:sz w:val="24"/>
          <w:szCs w:val="24"/>
        </w:rPr>
        <w:t>5 étudiants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chaque université partenaire. Les frais de voyage et de séjour à Tunis des étudiants sont pris en charge par le projet DIRE-MED.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81" w:lineRule="auto"/>
        <w:ind w:left="218"/>
        <w:jc w:val="both"/>
        <w:rPr>
          <w:color w:val="000000"/>
          <w:sz w:val="24"/>
          <w:szCs w:val="24"/>
        </w:rPr>
      </w:pPr>
    </w:p>
    <w:p w:rsidR="00FE1F7A" w:rsidRDefault="00B53A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81" w:lineRule="auto"/>
        <w:ind w:left="218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Afin de profiter de cette occasion et de présenter votre projet ou votre activité lors de cet événement de Tunis, nous vous invitons à déposer votre candidature.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:rsidR="00FE1F7A" w:rsidRDefault="00B53A06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Critères d’évaluation :</w:t>
      </w:r>
    </w:p>
    <w:p w:rsidR="00FE1F7A" w:rsidRDefault="00B53A0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2"/>
        <w:ind w:right="152"/>
        <w:jc w:val="both"/>
        <w:rPr>
          <w:color w:val="000000"/>
        </w:rPr>
      </w:pPr>
      <w:r>
        <w:rPr>
          <w:color w:val="000000"/>
          <w:sz w:val="24"/>
          <w:szCs w:val="24"/>
        </w:rPr>
        <w:t>Adéquation de la proposition avec la thématique générale de l’événement (la Méditerranéité) et avec les thèmes spécifiques: Patrimoine commun, artisanat et tourisme ; La citoyenneté, la mobilité et l’insertion socio-professionnelle,</w:t>
      </w:r>
    </w:p>
    <w:p w:rsidR="00FE1F7A" w:rsidRDefault="00B53A0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line="281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Pertinence et qualité des projets,</w:t>
      </w:r>
    </w:p>
    <w:p w:rsidR="00FE1F7A" w:rsidRDefault="00FE1F7A">
      <w:pPr>
        <w:pStyle w:val="normal0"/>
        <w:tabs>
          <w:tab w:val="left" w:pos="938"/>
        </w:tabs>
        <w:spacing w:line="281" w:lineRule="auto"/>
        <w:rPr>
          <w:sz w:val="24"/>
          <w:szCs w:val="24"/>
        </w:rPr>
      </w:pPr>
    </w:p>
    <w:p w:rsidR="00FE1F7A" w:rsidRDefault="00B53A0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line="28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Domaine de spécialités : Toutes les spécialités des étudiants sont éligibles,  </w:t>
      </w:r>
    </w:p>
    <w:p w:rsidR="00FE1F7A" w:rsidRDefault="00B53A0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line="281" w:lineRule="auto"/>
        <w:ind w:right="1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Format de votre participation : </w:t>
      </w:r>
    </w:p>
    <w:p w:rsidR="00FE1F7A" w:rsidRDefault="00B53A0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line="281" w:lineRule="auto"/>
        <w:ind w:right="155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Organisation d’un débat, ou d’un échange interactif autour d’un sujet précis, présentation d’un projet scientifique en rapport avec la thématique (poster, démonstration etc.), </w:t>
      </w:r>
    </w:p>
    <w:p w:rsidR="00FE1F7A" w:rsidRDefault="00B53A0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line="281" w:lineRule="auto"/>
        <w:ind w:right="155"/>
        <w:jc w:val="both"/>
        <w:rPr>
          <w:color w:val="000000"/>
        </w:rPr>
      </w:pPr>
      <w:r>
        <w:rPr>
          <w:color w:val="000000"/>
          <w:sz w:val="24"/>
          <w:szCs w:val="24"/>
        </w:rPr>
        <w:t>Mise en place d’un concours autour d’une thématique ou encore d’une exposition, spectacle vivant, etc.</w:t>
      </w:r>
    </w:p>
    <w:p w:rsidR="00FE1F7A" w:rsidRDefault="00B53A0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Toutes les langues des partenaires : Anglais, Arabe, Espagnol, Italien, Français (Veuillez préciser la langue de votre projet). 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E1F7A" w:rsidRDefault="00B53A0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Chaque présentation ou activité durera entre 20 et 90 min maximum selon le format.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E1F7A" w:rsidRDefault="00FE1F7A">
      <w:pPr>
        <w:pStyle w:val="normal0"/>
        <w:jc w:val="both"/>
        <w:rPr>
          <w:sz w:val="24"/>
          <w:szCs w:val="24"/>
        </w:rPr>
        <w:sectPr w:rsidR="00FE1F7A">
          <w:pgSz w:w="11910" w:h="16850"/>
          <w:pgMar w:top="1680" w:right="1640" w:bottom="1940" w:left="1580" w:header="709" w:footer="1747" w:gutter="0"/>
          <w:cols w:space="720" w:equalWidth="0">
            <w:col w:w="9406"/>
          </w:cols>
        </w:sect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11457" w:rsidRDefault="00311457">
      <w:pPr>
        <w:pStyle w:val="normal0"/>
        <w:spacing w:before="100"/>
        <w:ind w:left="369" w:right="362"/>
        <w:jc w:val="center"/>
        <w:rPr>
          <w:b/>
          <w:i/>
          <w:sz w:val="24"/>
          <w:szCs w:val="24"/>
        </w:rPr>
      </w:pPr>
    </w:p>
    <w:p w:rsidR="00311457" w:rsidRDefault="00311457">
      <w:pPr>
        <w:pStyle w:val="normal0"/>
        <w:spacing w:before="100"/>
        <w:ind w:left="369" w:right="362"/>
        <w:jc w:val="center"/>
        <w:rPr>
          <w:b/>
          <w:i/>
          <w:sz w:val="24"/>
          <w:szCs w:val="24"/>
        </w:rPr>
      </w:pPr>
    </w:p>
    <w:p w:rsidR="00311457" w:rsidRDefault="00311457">
      <w:pPr>
        <w:pStyle w:val="normal0"/>
        <w:spacing w:before="100"/>
        <w:ind w:left="369" w:right="362"/>
        <w:jc w:val="center"/>
        <w:rPr>
          <w:b/>
          <w:i/>
          <w:sz w:val="24"/>
          <w:szCs w:val="24"/>
        </w:rPr>
      </w:pPr>
    </w:p>
    <w:p w:rsidR="00FE1F7A" w:rsidRDefault="00B53A06">
      <w:pPr>
        <w:pStyle w:val="normal0"/>
        <w:spacing w:before="100"/>
        <w:ind w:left="369" w:right="36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Grille de notation</w:t>
      </w:r>
    </w:p>
    <w:p w:rsidR="006E10EA" w:rsidRDefault="006E10EA">
      <w:pPr>
        <w:pStyle w:val="normal0"/>
        <w:spacing w:before="100"/>
        <w:ind w:left="369" w:right="362"/>
        <w:jc w:val="center"/>
        <w:rPr>
          <w:b/>
          <w:i/>
          <w:sz w:val="24"/>
          <w:szCs w:val="24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4"/>
          <w:szCs w:val="24"/>
        </w:rPr>
      </w:pPr>
    </w:p>
    <w:tbl>
      <w:tblPr>
        <w:tblStyle w:val="Grilledutableau"/>
        <w:tblW w:w="9072" w:type="dxa"/>
        <w:tblInd w:w="250" w:type="dxa"/>
        <w:tblLayout w:type="fixed"/>
        <w:tblLook w:val="0000"/>
      </w:tblPr>
      <w:tblGrid>
        <w:gridCol w:w="2585"/>
        <w:gridCol w:w="6487"/>
      </w:tblGrid>
      <w:tr w:rsidR="00FE1F7A" w:rsidTr="0051161A">
        <w:trPr>
          <w:trHeight w:val="820"/>
        </w:trPr>
        <w:tc>
          <w:tcPr>
            <w:tcW w:w="2585" w:type="dxa"/>
          </w:tcPr>
          <w:p w:rsidR="006E10EA" w:rsidRDefault="006E10EA" w:rsidP="006E10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6"/>
              </w:tabs>
              <w:spacing w:before="1"/>
              <w:ind w:left="100" w:right="85" w:hanging="820"/>
              <w:jc w:val="center"/>
              <w:rPr>
                <w:color w:val="000000"/>
                <w:sz w:val="16"/>
                <w:szCs w:val="16"/>
              </w:rPr>
            </w:pPr>
          </w:p>
          <w:p w:rsidR="00FE1F7A" w:rsidRPr="006E10EA" w:rsidRDefault="006E10EA" w:rsidP="006E10EA">
            <w:pPr>
              <w:jc w:val="center"/>
            </w:pPr>
            <w:r w:rsidRPr="006E10EA">
              <w:rPr>
                <w:color w:val="000000"/>
                <w:sz w:val="20"/>
                <w:szCs w:val="20"/>
              </w:rPr>
              <w:t>Dossier de candidatures (15 points)</w:t>
            </w:r>
          </w:p>
        </w:tc>
        <w:tc>
          <w:tcPr>
            <w:tcW w:w="6487" w:type="dxa"/>
          </w:tcPr>
          <w:p w:rsidR="00FE1F7A" w:rsidRDefault="00B53A06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"/>
              <w:ind w:hanging="3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Adéquation de la proposition avec la thématique générale de l’événement (10 pts),</w:t>
            </w:r>
          </w:p>
          <w:p w:rsidR="00FE1F7A" w:rsidRDefault="00B53A06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hanging="3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Pertinence et qualité des projets (05 pts),</w:t>
            </w:r>
          </w:p>
          <w:p w:rsidR="00FE1F7A" w:rsidRDefault="00FE1F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left="459" w:hanging="820"/>
              <w:rPr>
                <w:color w:val="000000"/>
                <w:sz w:val="4"/>
                <w:szCs w:val="4"/>
              </w:rPr>
            </w:pPr>
          </w:p>
        </w:tc>
      </w:tr>
      <w:tr w:rsidR="00FE1F7A" w:rsidTr="0051161A">
        <w:trPr>
          <w:trHeight w:val="1000"/>
        </w:trPr>
        <w:tc>
          <w:tcPr>
            <w:tcW w:w="2585" w:type="dxa"/>
          </w:tcPr>
          <w:p w:rsidR="00FE1F7A" w:rsidRDefault="006E10EA" w:rsidP="006E10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10"/>
              </w:tabs>
              <w:spacing w:before="100"/>
              <w:ind w:left="100" w:right="84" w:hanging="8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ab/>
              <w:t>Entretien (15 points)</w:t>
            </w:r>
          </w:p>
        </w:tc>
        <w:tc>
          <w:tcPr>
            <w:tcW w:w="6487" w:type="dxa"/>
          </w:tcPr>
          <w:p w:rsidR="00FE1F7A" w:rsidRDefault="00B53A0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00"/>
              <w:ind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Présentation (10 pts),</w:t>
            </w:r>
          </w:p>
          <w:p w:rsidR="00FE1F7A" w:rsidRDefault="00B53A0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color w:val="000000"/>
                <w:sz w:val="20"/>
                <w:szCs w:val="20"/>
              </w:rPr>
              <w:t>Compétences linguistiques et communicationnelles (05 pts),</w:t>
            </w:r>
          </w:p>
        </w:tc>
      </w:tr>
    </w:tbl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:rsidR="00FE1F7A" w:rsidRDefault="00B53A06" w:rsidP="001A550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9"/>
        <w:ind w:left="218" w:right="1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descriptif de votre proposition de 300 mots maximum, votre CV, une lettre de motivation au format PDF doivent être envoyés à l’adresse suivante : </w:t>
      </w:r>
      <w:hyperlink r:id="rId9" w:history="1">
        <w:r w:rsidR="008B1C0B" w:rsidRPr="00755606">
          <w:rPr>
            <w:rStyle w:val="Lienhypertexte"/>
            <w:sz w:val="24"/>
            <w:szCs w:val="24"/>
          </w:rPr>
          <w:t>ferchichi.hajer85@gmail.com</w:t>
        </w:r>
      </w:hyperlink>
      <w:hyperlink r:id="rId10">
        <w:r w:rsidRPr="006E10EA">
          <w:rPr>
            <w:b/>
            <w:i/>
            <w:color w:val="006FC0"/>
            <w:sz w:val="24"/>
            <w:szCs w:val="24"/>
          </w:rPr>
          <w:t xml:space="preserve"> </w:t>
        </w:r>
      </w:hyperlink>
      <w:r w:rsidRPr="006E10EA">
        <w:rPr>
          <w:color w:val="000000"/>
          <w:sz w:val="24"/>
          <w:szCs w:val="24"/>
        </w:rPr>
        <w:t>avan</w:t>
      </w:r>
      <w:r>
        <w:rPr>
          <w:color w:val="000000"/>
          <w:sz w:val="24"/>
          <w:szCs w:val="24"/>
        </w:rPr>
        <w:t xml:space="preserve">t </w:t>
      </w:r>
      <w:r w:rsidRPr="00312540">
        <w:rPr>
          <w:b/>
          <w:bCs/>
          <w:color w:val="FF0000"/>
          <w:sz w:val="24"/>
          <w:szCs w:val="24"/>
        </w:rPr>
        <w:t xml:space="preserve">le </w:t>
      </w:r>
      <w:r w:rsidR="001A550A">
        <w:rPr>
          <w:b/>
          <w:bCs/>
          <w:color w:val="FF0000"/>
          <w:sz w:val="24"/>
          <w:szCs w:val="24"/>
        </w:rPr>
        <w:t>10</w:t>
      </w:r>
      <w:r w:rsidRPr="00312540">
        <w:rPr>
          <w:b/>
          <w:bCs/>
          <w:color w:val="FF0000"/>
          <w:sz w:val="24"/>
          <w:szCs w:val="24"/>
        </w:rPr>
        <w:t>/1</w:t>
      </w:r>
      <w:r w:rsidR="001A550A">
        <w:rPr>
          <w:b/>
          <w:bCs/>
          <w:color w:val="FF0000"/>
          <w:sz w:val="24"/>
          <w:szCs w:val="24"/>
        </w:rPr>
        <w:t>1</w:t>
      </w:r>
      <w:r w:rsidRPr="00312540">
        <w:rPr>
          <w:b/>
          <w:bCs/>
          <w:color w:val="FF0000"/>
          <w:sz w:val="24"/>
          <w:szCs w:val="24"/>
        </w:rPr>
        <w:t>/ 2019</w:t>
      </w:r>
      <w:r>
        <w:rPr>
          <w:color w:val="FF0000"/>
          <w:sz w:val="24"/>
          <w:szCs w:val="24"/>
        </w:rPr>
        <w:t>.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FE1F7A" w:rsidRDefault="00B53A06" w:rsidP="0031254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2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candidats sélectionnés seront informés par émail pour passer un entretien à</w:t>
      </w:r>
    </w:p>
    <w:p w:rsidR="00FE1F7A" w:rsidRDefault="00B53A06" w:rsidP="008B1C0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2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L’Université de </w:t>
      </w:r>
      <w:r w:rsidR="008B1C0B">
        <w:rPr>
          <w:color w:val="000000"/>
          <w:sz w:val="24"/>
          <w:szCs w:val="24"/>
        </w:rPr>
        <w:t>Carthage</w:t>
      </w:r>
      <w:r w:rsidR="00312540">
        <w:rPr>
          <w:color w:val="000000"/>
          <w:sz w:val="24"/>
          <w:szCs w:val="24"/>
        </w:rPr>
        <w:t>.</w:t>
      </w:r>
    </w:p>
    <w:p w:rsidR="00312540" w:rsidRDefault="00312540" w:rsidP="0031254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218"/>
        <w:jc w:val="both"/>
        <w:rPr>
          <w:color w:val="000000"/>
          <w:sz w:val="24"/>
          <w:szCs w:val="24"/>
        </w:rPr>
      </w:pPr>
    </w:p>
    <w:p w:rsidR="00312540" w:rsidRDefault="00312540" w:rsidP="0031254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218"/>
        <w:jc w:val="both"/>
        <w:rPr>
          <w:color w:val="000000"/>
          <w:sz w:val="24"/>
          <w:szCs w:val="24"/>
        </w:rPr>
      </w:pP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FE1F7A" w:rsidRDefault="00B53A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81" w:lineRule="auto"/>
        <w:ind w:left="417" w:right="35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***********</w:t>
      </w:r>
    </w:p>
    <w:p w:rsidR="00FE1F7A" w:rsidRDefault="00FE1F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FE1F7A" w:rsidRDefault="00B53A06">
      <w:pPr>
        <w:pStyle w:val="normal0"/>
        <w:spacing w:before="235"/>
        <w:ind w:left="417" w:right="353"/>
        <w:jc w:val="center"/>
        <w:rPr>
          <w:sz w:val="40"/>
          <w:szCs w:val="40"/>
        </w:rPr>
      </w:pPr>
      <w:r>
        <w:rPr>
          <w:color w:val="FF3399"/>
          <w:sz w:val="40"/>
          <w:szCs w:val="40"/>
        </w:rPr>
        <w:t>Envoyez-nous vos propositions !</w:t>
      </w:r>
    </w:p>
    <w:sectPr w:rsidR="00FE1F7A" w:rsidSect="00FE1F7A">
      <w:pgSz w:w="11910" w:h="16850"/>
      <w:pgMar w:top="1680" w:right="1640" w:bottom="1940" w:left="1580" w:header="709" w:footer="1747" w:gutter="0"/>
      <w:cols w:space="720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7E" w:rsidRDefault="00C12D7E" w:rsidP="00FE1F7A">
      <w:r>
        <w:separator/>
      </w:r>
    </w:p>
  </w:endnote>
  <w:endnote w:type="continuationSeparator" w:id="1">
    <w:p w:rsidR="00C12D7E" w:rsidRDefault="00C12D7E" w:rsidP="00FE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7A" w:rsidRDefault="00FE1F7A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01358F" w:rsidRDefault="0001358F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D01659" w:rsidRDefault="00D01659" w:rsidP="00D01659">
    <w:pPr>
      <w:pStyle w:val="normal0"/>
      <w:pBdr>
        <w:top w:val="nil"/>
        <w:left w:val="nil"/>
        <w:bottom w:val="nil"/>
        <w:right w:val="nil"/>
        <w:between w:val="nil"/>
      </w:pBdr>
      <w:ind w:left="-1276" w:right="-1375"/>
      <w:rPr>
        <w:szCs w:val="20"/>
      </w:rPr>
    </w:pPr>
  </w:p>
  <w:p w:rsidR="0001358F" w:rsidRDefault="0001358F" w:rsidP="00D01659">
    <w:pPr>
      <w:pStyle w:val="normal0"/>
      <w:pBdr>
        <w:top w:val="nil"/>
        <w:left w:val="nil"/>
        <w:bottom w:val="nil"/>
        <w:right w:val="nil"/>
        <w:between w:val="nil"/>
      </w:pBdr>
      <w:ind w:left="-1276" w:right="-1375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7E" w:rsidRDefault="00C12D7E" w:rsidP="00FE1F7A">
      <w:r>
        <w:separator/>
      </w:r>
    </w:p>
  </w:footnote>
  <w:footnote w:type="continuationSeparator" w:id="1">
    <w:p w:rsidR="00C12D7E" w:rsidRDefault="00C12D7E" w:rsidP="00FE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7A" w:rsidRDefault="00B53A06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1414145</wp:posOffset>
          </wp:positionH>
          <wp:positionV relativeFrom="paragraph">
            <wp:posOffset>0</wp:posOffset>
          </wp:positionV>
          <wp:extent cx="2720721" cy="627252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0721" cy="627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9C6"/>
    <w:multiLevelType w:val="multilevel"/>
    <w:tmpl w:val="DA7AF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63C"/>
    <w:multiLevelType w:val="multilevel"/>
    <w:tmpl w:val="64522EB4"/>
    <w:lvl w:ilvl="0">
      <w:start w:val="1"/>
      <w:numFmt w:val="bullet"/>
      <w:lvlText w:val="-"/>
      <w:lvlJc w:val="left"/>
      <w:pPr>
        <w:ind w:left="578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401846"/>
    <w:multiLevelType w:val="multilevel"/>
    <w:tmpl w:val="BC8AA86C"/>
    <w:lvl w:ilvl="0">
      <w:start w:val="1"/>
      <w:numFmt w:val="bullet"/>
      <w:lvlText w:val="-"/>
      <w:lvlJc w:val="left"/>
      <w:pPr>
        <w:ind w:left="938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</w:lvl>
    <w:lvl w:ilvl="2">
      <w:start w:val="1"/>
      <w:numFmt w:val="bullet"/>
      <w:lvlText w:val="•"/>
      <w:lvlJc w:val="left"/>
      <w:pPr>
        <w:ind w:left="2488" w:hanging="360"/>
      </w:pPr>
    </w:lvl>
    <w:lvl w:ilvl="3">
      <w:start w:val="1"/>
      <w:numFmt w:val="bullet"/>
      <w:lvlText w:val="•"/>
      <w:lvlJc w:val="left"/>
      <w:pPr>
        <w:ind w:left="3262" w:hanging="360"/>
      </w:pPr>
    </w:lvl>
    <w:lvl w:ilvl="4">
      <w:start w:val="1"/>
      <w:numFmt w:val="bullet"/>
      <w:lvlText w:val="•"/>
      <w:lvlJc w:val="left"/>
      <w:pPr>
        <w:ind w:left="4036" w:hanging="360"/>
      </w:pPr>
    </w:lvl>
    <w:lvl w:ilvl="5">
      <w:start w:val="1"/>
      <w:numFmt w:val="bullet"/>
      <w:lvlText w:val="•"/>
      <w:lvlJc w:val="left"/>
      <w:pPr>
        <w:ind w:left="4810" w:hanging="360"/>
      </w:pPr>
    </w:lvl>
    <w:lvl w:ilvl="6">
      <w:start w:val="1"/>
      <w:numFmt w:val="bullet"/>
      <w:lvlText w:val="•"/>
      <w:lvlJc w:val="left"/>
      <w:pPr>
        <w:ind w:left="5584" w:hanging="360"/>
      </w:pPr>
    </w:lvl>
    <w:lvl w:ilvl="7">
      <w:start w:val="1"/>
      <w:numFmt w:val="bullet"/>
      <w:lvlText w:val="•"/>
      <w:lvlJc w:val="left"/>
      <w:pPr>
        <w:ind w:left="6359" w:hanging="360"/>
      </w:pPr>
    </w:lvl>
    <w:lvl w:ilvl="8">
      <w:start w:val="1"/>
      <w:numFmt w:val="bullet"/>
      <w:lvlText w:val="•"/>
      <w:lvlJc w:val="left"/>
      <w:pPr>
        <w:ind w:left="7133" w:hanging="360"/>
      </w:pPr>
    </w:lvl>
  </w:abstractNum>
  <w:abstractNum w:abstractNumId="3">
    <w:nsid w:val="297105B8"/>
    <w:multiLevelType w:val="multilevel"/>
    <w:tmpl w:val="0DE6A8D2"/>
    <w:lvl w:ilvl="0">
      <w:start w:val="1"/>
      <w:numFmt w:val="bullet"/>
      <w:lvlText w:val="●"/>
      <w:lvlJc w:val="left"/>
      <w:pPr>
        <w:ind w:left="938" w:hanging="360"/>
      </w:pPr>
    </w:lvl>
    <w:lvl w:ilvl="1">
      <w:start w:val="1"/>
      <w:numFmt w:val="bullet"/>
      <w:lvlText w:val="•"/>
      <w:lvlJc w:val="left"/>
      <w:pPr>
        <w:ind w:left="1714" w:hanging="360"/>
      </w:pPr>
    </w:lvl>
    <w:lvl w:ilvl="2">
      <w:start w:val="1"/>
      <w:numFmt w:val="bullet"/>
      <w:lvlText w:val="•"/>
      <w:lvlJc w:val="left"/>
      <w:pPr>
        <w:ind w:left="2488" w:hanging="360"/>
      </w:pPr>
    </w:lvl>
    <w:lvl w:ilvl="3">
      <w:start w:val="1"/>
      <w:numFmt w:val="bullet"/>
      <w:lvlText w:val="•"/>
      <w:lvlJc w:val="left"/>
      <w:pPr>
        <w:ind w:left="3262" w:hanging="360"/>
      </w:pPr>
    </w:lvl>
    <w:lvl w:ilvl="4">
      <w:start w:val="1"/>
      <w:numFmt w:val="bullet"/>
      <w:lvlText w:val="•"/>
      <w:lvlJc w:val="left"/>
      <w:pPr>
        <w:ind w:left="4036" w:hanging="360"/>
      </w:pPr>
    </w:lvl>
    <w:lvl w:ilvl="5">
      <w:start w:val="1"/>
      <w:numFmt w:val="bullet"/>
      <w:lvlText w:val="•"/>
      <w:lvlJc w:val="left"/>
      <w:pPr>
        <w:ind w:left="4810" w:hanging="360"/>
      </w:pPr>
    </w:lvl>
    <w:lvl w:ilvl="6">
      <w:start w:val="1"/>
      <w:numFmt w:val="bullet"/>
      <w:lvlText w:val="•"/>
      <w:lvlJc w:val="left"/>
      <w:pPr>
        <w:ind w:left="5584" w:hanging="360"/>
      </w:pPr>
    </w:lvl>
    <w:lvl w:ilvl="7">
      <w:start w:val="1"/>
      <w:numFmt w:val="bullet"/>
      <w:lvlText w:val="•"/>
      <w:lvlJc w:val="left"/>
      <w:pPr>
        <w:ind w:left="6359" w:hanging="360"/>
      </w:pPr>
    </w:lvl>
    <w:lvl w:ilvl="8">
      <w:start w:val="1"/>
      <w:numFmt w:val="bullet"/>
      <w:lvlText w:val="•"/>
      <w:lvlJc w:val="left"/>
      <w:pPr>
        <w:ind w:left="7133" w:hanging="360"/>
      </w:pPr>
    </w:lvl>
  </w:abstractNum>
  <w:abstractNum w:abstractNumId="4">
    <w:nsid w:val="793C3579"/>
    <w:multiLevelType w:val="multilevel"/>
    <w:tmpl w:val="359CF066"/>
    <w:lvl w:ilvl="0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DA90561"/>
    <w:multiLevelType w:val="multilevel"/>
    <w:tmpl w:val="2468F972"/>
    <w:lvl w:ilvl="0">
      <w:start w:val="1"/>
      <w:numFmt w:val="bullet"/>
      <w:lvlText w:val="-"/>
      <w:lvlJc w:val="left"/>
      <w:pPr>
        <w:ind w:left="820" w:hanging="360"/>
      </w:pPr>
      <w:rPr>
        <w:rFonts w:ascii="Cambria" w:eastAsia="Cambria" w:hAnsi="Cambria" w:cs="Cambria"/>
        <w:sz w:val="20"/>
        <w:szCs w:val="20"/>
      </w:rPr>
    </w:lvl>
    <w:lvl w:ilvl="1">
      <w:start w:val="1"/>
      <w:numFmt w:val="bullet"/>
      <w:lvlText w:val="•"/>
      <w:lvlJc w:val="left"/>
      <w:pPr>
        <w:ind w:left="1372" w:hanging="360"/>
      </w:pPr>
    </w:lvl>
    <w:lvl w:ilvl="2">
      <w:start w:val="1"/>
      <w:numFmt w:val="bullet"/>
      <w:lvlText w:val="•"/>
      <w:lvlJc w:val="left"/>
      <w:pPr>
        <w:ind w:left="1925" w:hanging="360"/>
      </w:pPr>
    </w:lvl>
    <w:lvl w:ilvl="3">
      <w:start w:val="1"/>
      <w:numFmt w:val="bullet"/>
      <w:lvlText w:val="•"/>
      <w:lvlJc w:val="left"/>
      <w:pPr>
        <w:ind w:left="2477" w:hanging="360"/>
      </w:pPr>
    </w:lvl>
    <w:lvl w:ilvl="4">
      <w:start w:val="1"/>
      <w:numFmt w:val="bullet"/>
      <w:lvlText w:val="•"/>
      <w:lvlJc w:val="left"/>
      <w:pPr>
        <w:ind w:left="3030" w:hanging="360"/>
      </w:pPr>
    </w:lvl>
    <w:lvl w:ilvl="5">
      <w:start w:val="1"/>
      <w:numFmt w:val="bullet"/>
      <w:lvlText w:val="•"/>
      <w:lvlJc w:val="left"/>
      <w:pPr>
        <w:ind w:left="3583" w:hanging="360"/>
      </w:pPr>
    </w:lvl>
    <w:lvl w:ilvl="6">
      <w:start w:val="1"/>
      <w:numFmt w:val="bullet"/>
      <w:lvlText w:val="•"/>
      <w:lvlJc w:val="left"/>
      <w:pPr>
        <w:ind w:left="4135" w:hanging="360"/>
      </w:pPr>
    </w:lvl>
    <w:lvl w:ilvl="7">
      <w:start w:val="1"/>
      <w:numFmt w:val="bullet"/>
      <w:lvlText w:val="•"/>
      <w:lvlJc w:val="left"/>
      <w:pPr>
        <w:ind w:left="4688" w:hanging="360"/>
      </w:pPr>
    </w:lvl>
    <w:lvl w:ilvl="8">
      <w:start w:val="1"/>
      <w:numFmt w:val="bullet"/>
      <w:lvlText w:val="•"/>
      <w:lvlJc w:val="left"/>
      <w:pPr>
        <w:ind w:left="5240" w:hanging="360"/>
      </w:pPr>
    </w:lvl>
  </w:abstractNum>
  <w:abstractNum w:abstractNumId="6">
    <w:nsid w:val="7EC178D0"/>
    <w:multiLevelType w:val="multilevel"/>
    <w:tmpl w:val="280A4C34"/>
    <w:lvl w:ilvl="0">
      <w:start w:val="1"/>
      <w:numFmt w:val="bullet"/>
      <w:lvlText w:val="-"/>
      <w:lvlJc w:val="left"/>
      <w:pPr>
        <w:ind w:left="820" w:hanging="360"/>
      </w:pPr>
    </w:lvl>
    <w:lvl w:ilvl="1">
      <w:start w:val="1"/>
      <w:numFmt w:val="bullet"/>
      <w:lvlText w:val="•"/>
      <w:lvlJc w:val="left"/>
      <w:pPr>
        <w:ind w:left="1372" w:hanging="360"/>
      </w:pPr>
    </w:lvl>
    <w:lvl w:ilvl="2">
      <w:start w:val="1"/>
      <w:numFmt w:val="bullet"/>
      <w:lvlText w:val="•"/>
      <w:lvlJc w:val="left"/>
      <w:pPr>
        <w:ind w:left="1925" w:hanging="360"/>
      </w:pPr>
    </w:lvl>
    <w:lvl w:ilvl="3">
      <w:start w:val="1"/>
      <w:numFmt w:val="bullet"/>
      <w:lvlText w:val="•"/>
      <w:lvlJc w:val="left"/>
      <w:pPr>
        <w:ind w:left="2477" w:hanging="360"/>
      </w:pPr>
    </w:lvl>
    <w:lvl w:ilvl="4">
      <w:start w:val="1"/>
      <w:numFmt w:val="bullet"/>
      <w:lvlText w:val="•"/>
      <w:lvlJc w:val="left"/>
      <w:pPr>
        <w:ind w:left="3030" w:hanging="360"/>
      </w:pPr>
    </w:lvl>
    <w:lvl w:ilvl="5">
      <w:start w:val="1"/>
      <w:numFmt w:val="bullet"/>
      <w:lvlText w:val="•"/>
      <w:lvlJc w:val="left"/>
      <w:pPr>
        <w:ind w:left="3583" w:hanging="360"/>
      </w:pPr>
    </w:lvl>
    <w:lvl w:ilvl="6">
      <w:start w:val="1"/>
      <w:numFmt w:val="bullet"/>
      <w:lvlText w:val="•"/>
      <w:lvlJc w:val="left"/>
      <w:pPr>
        <w:ind w:left="4135" w:hanging="360"/>
      </w:pPr>
    </w:lvl>
    <w:lvl w:ilvl="7">
      <w:start w:val="1"/>
      <w:numFmt w:val="bullet"/>
      <w:lvlText w:val="•"/>
      <w:lvlJc w:val="left"/>
      <w:pPr>
        <w:ind w:left="4688" w:hanging="360"/>
      </w:pPr>
    </w:lvl>
    <w:lvl w:ilvl="8">
      <w:start w:val="1"/>
      <w:numFmt w:val="bullet"/>
      <w:lvlText w:val="•"/>
      <w:lvlJc w:val="left"/>
      <w:pPr>
        <w:ind w:left="5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E1F7A"/>
    <w:rsid w:val="0001358F"/>
    <w:rsid w:val="000900C6"/>
    <w:rsid w:val="000F23AC"/>
    <w:rsid w:val="0018629E"/>
    <w:rsid w:val="001A550A"/>
    <w:rsid w:val="0027282C"/>
    <w:rsid w:val="002D0791"/>
    <w:rsid w:val="00311457"/>
    <w:rsid w:val="00312540"/>
    <w:rsid w:val="00411497"/>
    <w:rsid w:val="0051161A"/>
    <w:rsid w:val="00537F80"/>
    <w:rsid w:val="00677ACE"/>
    <w:rsid w:val="006B378D"/>
    <w:rsid w:val="006E10EA"/>
    <w:rsid w:val="008B1C0B"/>
    <w:rsid w:val="008C27D2"/>
    <w:rsid w:val="00A21A59"/>
    <w:rsid w:val="00B53A06"/>
    <w:rsid w:val="00C12D7E"/>
    <w:rsid w:val="00C30A7A"/>
    <w:rsid w:val="00D01659"/>
    <w:rsid w:val="00D13D99"/>
    <w:rsid w:val="00EB224E"/>
    <w:rsid w:val="00FC3775"/>
    <w:rsid w:val="00FE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99"/>
  </w:style>
  <w:style w:type="paragraph" w:styleId="Titre1">
    <w:name w:val="heading 1"/>
    <w:basedOn w:val="normal0"/>
    <w:next w:val="normal0"/>
    <w:rsid w:val="00FE1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FE1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E1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E1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FE1F7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FE1F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E1F7A"/>
  </w:style>
  <w:style w:type="table" w:customStyle="1" w:styleId="TableNormal">
    <w:name w:val="Table Normal"/>
    <w:rsid w:val="00FE1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E1F7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FE1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1F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FE1F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1F7A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E1F7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1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C37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3775"/>
  </w:style>
  <w:style w:type="paragraph" w:styleId="Pieddepage">
    <w:name w:val="footer"/>
    <w:basedOn w:val="Normal"/>
    <w:link w:val="PieddepageCar"/>
    <w:uiPriority w:val="99"/>
    <w:semiHidden/>
    <w:unhideWhenUsed/>
    <w:rsid w:val="00FC37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775"/>
  </w:style>
  <w:style w:type="character" w:styleId="Lienhypertexte">
    <w:name w:val="Hyperlink"/>
    <w:basedOn w:val="Policepardfaut"/>
    <w:uiPriority w:val="99"/>
    <w:unhideWhenUsed/>
    <w:rsid w:val="008B1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halifa.harbaoui@utm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chichi.hajer8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khalifa</dc:creator>
  <cp:lastModifiedBy>hajer</cp:lastModifiedBy>
  <cp:revision>5</cp:revision>
  <dcterms:created xsi:type="dcterms:W3CDTF">2019-10-11T10:23:00Z</dcterms:created>
  <dcterms:modified xsi:type="dcterms:W3CDTF">2019-11-05T08:32:00Z</dcterms:modified>
</cp:coreProperties>
</file>